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305611</w:t>
      </w:r>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Incheon, Korea,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22 -26 May</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mobility enhancements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21 meeting [1]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neighbour cell measurement</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p>
      <w:pPr>
        <w:pStyle w:val="26"/>
        <w:pBdr>
          <w:top w:val="single" w:color="auto" w:sz="4" w:space="1"/>
          <w:left w:val="single" w:color="auto" w:sz="4" w:space="4"/>
          <w:bottom w:val="single" w:color="auto" w:sz="4" w:space="1"/>
          <w:right w:val="single" w:color="auto" w:sz="4" w:space="4"/>
        </w:pBdr>
      </w:pPr>
      <w:r>
        <w:t>Agreements:</w:t>
      </w:r>
    </w:p>
    <w:p>
      <w:pPr>
        <w:pStyle w:val="26"/>
        <w:numPr>
          <w:ilvl w:val="0"/>
          <w:numId w:val="1"/>
        </w:numPr>
        <w:pBdr>
          <w:top w:val="single" w:color="auto" w:sz="4" w:space="1"/>
          <w:left w:val="single" w:color="auto" w:sz="4" w:space="4"/>
          <w:bottom w:val="single" w:color="auto" w:sz="4" w:space="1"/>
          <w:right w:val="single" w:color="auto" w:sz="4" w:space="4"/>
        </w:pBdr>
      </w:pPr>
      <w:r>
        <w:t>New SIBxx is introduced to broadcast the neighbor cell/satellite information.</w:t>
      </w:r>
    </w:p>
    <w:p>
      <w:pPr>
        <w:pStyle w:val="26"/>
        <w:pBdr>
          <w:top w:val="single" w:color="auto" w:sz="4" w:space="1"/>
          <w:left w:val="single" w:color="auto" w:sz="4" w:space="4"/>
          <w:bottom w:val="single" w:color="auto" w:sz="4" w:space="1"/>
          <w:right w:val="single" w:color="auto" w:sz="4" w:space="4"/>
        </w:pBdr>
      </w:pPr>
      <w:r>
        <w:t>Agreements via email – from offline 114:</w:t>
      </w:r>
    </w:p>
    <w:p>
      <w:pPr>
        <w:pStyle w:val="26"/>
        <w:numPr>
          <w:ilvl w:val="0"/>
          <w:numId w:val="2"/>
        </w:numPr>
        <w:pBdr>
          <w:top w:val="single" w:color="auto" w:sz="4" w:space="1"/>
          <w:left w:val="single" w:color="auto" w:sz="4" w:space="4"/>
          <w:bottom w:val="single" w:color="auto" w:sz="4" w:space="1"/>
          <w:right w:val="single" w:color="auto" w:sz="4" w:space="4"/>
        </w:pBdr>
      </w:pPr>
      <w:r>
        <w:t>Common TA parameters are broadcast as assistance information for neighbor cell measurements.</w:t>
      </w:r>
    </w:p>
    <w:p>
      <w:pPr>
        <w:pStyle w:val="26"/>
        <w:numPr>
          <w:ilvl w:val="0"/>
          <w:numId w:val="2"/>
        </w:numPr>
        <w:pBdr>
          <w:top w:val="single" w:color="auto" w:sz="4" w:space="1"/>
          <w:left w:val="single" w:color="auto" w:sz="4" w:space="4"/>
          <w:bottom w:val="single" w:color="auto" w:sz="4" w:space="1"/>
          <w:right w:val="single" w:color="auto" w:sz="4" w:space="4"/>
        </w:pBdr>
      </w:pPr>
      <w:r>
        <w:t>Kmac is broadcast as neighbor cell assistance information.</w:t>
      </w:r>
    </w:p>
    <w:p>
      <w:pPr>
        <w:pStyle w:val="26"/>
        <w:numPr>
          <w:ilvl w:val="0"/>
          <w:numId w:val="2"/>
        </w:numPr>
        <w:pBdr>
          <w:top w:val="single" w:color="auto" w:sz="4" w:space="1"/>
          <w:left w:val="single" w:color="auto" w:sz="4" w:space="4"/>
          <w:bottom w:val="single" w:color="auto" w:sz="4" w:space="1"/>
          <w:right w:val="single" w:color="auto" w:sz="4" w:space="4"/>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pPr>
        <w:pStyle w:val="26"/>
        <w:pBdr>
          <w:top w:val="single" w:color="auto" w:sz="4" w:space="1"/>
          <w:left w:val="single" w:color="auto" w:sz="4" w:space="4"/>
          <w:bottom w:val="single" w:color="auto" w:sz="4" w:space="1"/>
          <w:right w:val="single" w:color="auto" w:sz="4" w:space="4"/>
        </w:pBdr>
      </w:pPr>
      <w:r>
        <w:t>Agreements online:</w:t>
      </w:r>
    </w:p>
    <w:p>
      <w:pPr>
        <w:pStyle w:val="26"/>
        <w:numPr>
          <w:ilvl w:val="0"/>
          <w:numId w:val="3"/>
        </w:numPr>
        <w:pBdr>
          <w:top w:val="single" w:color="auto" w:sz="4" w:space="1"/>
          <w:left w:val="single" w:color="auto" w:sz="4" w:space="4"/>
          <w:bottom w:val="single" w:color="auto" w:sz="4" w:space="1"/>
          <w:right w:val="single" w:color="auto" w:sz="4" w:space="4"/>
        </w:pBdr>
      </w:pPr>
      <w:r>
        <w:t>Introduce satellite ID for the satellite in a list in new SIB-xx. FFS on the details of the new IE</w:t>
      </w:r>
    </w:p>
    <w:p>
      <w:pPr>
        <w:pStyle w:val="26"/>
        <w:numPr>
          <w:ilvl w:val="0"/>
          <w:numId w:val="3"/>
        </w:numPr>
        <w:pBdr>
          <w:top w:val="single" w:color="auto" w:sz="4" w:space="1"/>
          <w:left w:val="single" w:color="auto" w:sz="4" w:space="4"/>
          <w:bottom w:val="single" w:color="auto" w:sz="4" w:space="1"/>
          <w:right w:val="single" w:color="auto" w:sz="4" w:space="4"/>
        </w:pBdr>
      </w:pPr>
      <w:r>
        <w:t>For eMTC NTN, for fixed cell, location-based measurement initiation can also be used in RRC_IDLE for cell re-selection purposes (like in NR-NTN)</w:t>
      </w:r>
    </w:p>
    <w:p>
      <w:pPr>
        <w:pStyle w:val="26"/>
        <w:numPr>
          <w:ilvl w:val="0"/>
          <w:numId w:val="3"/>
        </w:numPr>
        <w:pBdr>
          <w:top w:val="single" w:color="auto" w:sz="4" w:space="1"/>
          <w:left w:val="single" w:color="auto" w:sz="4" w:space="4"/>
          <w:bottom w:val="single" w:color="auto" w:sz="4" w:space="1"/>
          <w:right w:val="single" w:color="auto" w:sz="4" w:space="4"/>
        </w:pBdr>
      </w:pPr>
      <w:r>
        <w:t>For eMTC NTN, for moving cell, location-based measurement initiation can also be used in RRC_IDLE for cell re-selection purposes (like in NR-NTN). FFS whether to consider solution that does not require UE to update the GNSS for this same as in connected mode</w:t>
      </w:r>
    </w:p>
    <w:p>
      <w:pPr>
        <w:pStyle w:val="26"/>
        <w:numPr>
          <w:ilvl w:val="0"/>
          <w:numId w:val="3"/>
        </w:numPr>
        <w:pBdr>
          <w:top w:val="single" w:color="auto" w:sz="4" w:space="1"/>
          <w:left w:val="single" w:color="auto" w:sz="4" w:space="4"/>
          <w:bottom w:val="single" w:color="auto" w:sz="4" w:space="1"/>
          <w:right w:val="single" w:color="auto" w:sz="4" w:space="4"/>
        </w:pBdr>
      </w:pPr>
      <w:r>
        <w:t>SIB3 is extended to include the reference location and distanceThresh</w:t>
      </w:r>
    </w:p>
    <w:p>
      <w:pPr>
        <w:widowControl/>
        <w:spacing w:beforeLines="50" w:after="180"/>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w:t>
      </w:r>
      <w:r>
        <w:rPr>
          <w:rFonts w:hint="eastAsia" w:ascii="Arial" w:hAnsi="Arial" w:eastAsia="宋体" w:cs="Arial"/>
          <w:kern w:val="0"/>
          <w:sz w:val="20"/>
          <w:szCs w:val="20"/>
        </w:rPr>
        <w:t xml:space="preserve"> for </w:t>
      </w:r>
      <w:r>
        <w:rPr>
          <w:rFonts w:hint="eastAsia" w:ascii="Arial" w:hAnsi="Arial" w:eastAsia="宋体" w:cs="Arial"/>
          <w:kern w:val="0"/>
          <w:sz w:val="20"/>
          <w:szCs w:val="20"/>
          <w:lang w:val="en-US" w:eastAsia="zh-CN"/>
        </w:rPr>
        <w:t>neighbour cell measurements and CHO enhancements</w:t>
      </w:r>
      <w:r>
        <w:rPr>
          <w:rFonts w:ascii="Arial" w:hAnsi="Arial" w:eastAsia="宋体" w:cs="Arial"/>
          <w:kern w:val="0"/>
          <w:sz w:val="20"/>
          <w:szCs w:val="20"/>
          <w:lang w:val="en-GB"/>
        </w:rPr>
        <w:t>.</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1</w:t>
      </w:r>
      <w:r>
        <w:rPr>
          <w:rFonts w:ascii="Arial" w:hAnsi="Arial" w:eastAsia="宋体" w:cs="Arial"/>
          <w:kern w:val="0"/>
          <w:sz w:val="32"/>
          <w:szCs w:val="20"/>
          <w:lang w:val="en-GB" w:eastAsia="en-US"/>
        </w:rPr>
        <w:tab/>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eMTC NTN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that for eMTC NTN, for moving cell and fixed cell, location-based measurement initiation can be used in RRC_IDLE for cell re-selection purposes (like in NR-NTN). FFS whether to consider solution that does not require UE to update the GNSS for this same as in connected mode for moving cell. In our understanding, the same issue exists for moving cell case and fixed cell case. Considering the power consumption requirements in idle mode, we prefer that eMTC UE in idle mode is not required to update the GNSS location frequently, the details can be up to UE implementation.</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It is not required for eMTC UE to update the GNSS location for location-based measurement trigger in idle mode, the details can be up to UE implementation.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w:t>
      </w:r>
      <w:r>
        <w:rPr>
          <w:rFonts w:hint="eastAsia" w:ascii="Arial" w:hAnsi="Arial" w:eastAsia="宋体" w:cs="Arial"/>
          <w:kern w:val="0"/>
          <w:sz w:val="20"/>
          <w:szCs w:val="20"/>
          <w:lang w:eastAsia="zh-CN"/>
        </w:rPr>
        <w:t xml:space="preserve">or </w:t>
      </w:r>
      <w:r>
        <w:rPr>
          <w:rFonts w:hint="eastAsia" w:ascii="Arial" w:hAnsi="Arial" w:eastAsia="宋体" w:cs="Arial"/>
          <w:kern w:val="0"/>
          <w:sz w:val="20"/>
          <w:szCs w:val="20"/>
          <w:lang w:val="en-US" w:eastAsia="zh-CN"/>
        </w:rPr>
        <w:t xml:space="preserve">connected mode measurement enhancement, </w:t>
      </w:r>
      <w:r>
        <w:rPr>
          <w:rFonts w:hint="eastAsia" w:ascii="Arial" w:hAnsi="Arial" w:eastAsia="宋体" w:cs="Arial"/>
          <w:kern w:val="0"/>
          <w:sz w:val="20"/>
          <w:szCs w:val="20"/>
          <w:lang w:eastAsia="zh-CN"/>
        </w:rPr>
        <w:t>eMTC UE can always perform the neighbor cell measurement in connected</w:t>
      </w:r>
      <w:r>
        <w:rPr>
          <w:rFonts w:hint="eastAsia" w:ascii="Arial" w:hAnsi="Arial" w:eastAsia="宋体" w:cs="Arial"/>
          <w:kern w:val="0"/>
          <w:sz w:val="20"/>
          <w:szCs w:val="20"/>
          <w:lang w:val="en-US" w:eastAsia="zh-CN"/>
        </w:rPr>
        <w:t xml:space="preserve"> mode. In addition,</w:t>
      </w:r>
      <w:r>
        <w:rPr>
          <w:rFonts w:hint="eastAsia" w:ascii="Arial" w:hAnsi="Arial" w:eastAsia="宋体" w:cs="Arial"/>
          <w:kern w:val="0"/>
          <w:sz w:val="20"/>
          <w:szCs w:val="20"/>
          <w:lang w:eastAsia="zh-CN"/>
        </w:rPr>
        <w:t xml:space="preserve"> </w:t>
      </w:r>
      <w:r>
        <w:rPr>
          <w:rFonts w:hint="eastAsia" w:ascii="Arial" w:hAnsi="Arial" w:eastAsia="宋体" w:cs="Arial"/>
          <w:kern w:val="0"/>
          <w:sz w:val="20"/>
          <w:szCs w:val="20"/>
          <w:lang w:val="en-US" w:eastAsia="zh-CN"/>
        </w:rPr>
        <w:t xml:space="preserve">RAN2 has agreed to introduce </w:t>
      </w:r>
      <w:r>
        <w:rPr>
          <w:rFonts w:hint="eastAsia" w:ascii="Arial" w:hAnsi="Arial" w:eastAsia="宋体" w:cs="Arial"/>
          <w:kern w:val="0"/>
          <w:sz w:val="20"/>
          <w:szCs w:val="20"/>
          <w:lang w:eastAsia="zh-CN"/>
        </w:rPr>
        <w:t>the time</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eastAsia="zh-CN"/>
        </w:rPr>
        <w:t>base</w:t>
      </w:r>
      <w:r>
        <w:rPr>
          <w:rFonts w:hint="eastAsia" w:ascii="Arial" w:hAnsi="Arial" w:eastAsia="宋体" w:cs="Arial"/>
          <w:kern w:val="0"/>
          <w:sz w:val="20"/>
          <w:szCs w:val="20"/>
          <w:lang w:val="en-US" w:eastAsia="zh-CN"/>
        </w:rPr>
        <w:t>d</w:t>
      </w:r>
      <w:r>
        <w:rPr>
          <w:rFonts w:hint="eastAsia" w:ascii="Arial" w:hAnsi="Arial" w:eastAsia="宋体" w:cs="Arial"/>
          <w:kern w:val="0"/>
          <w:sz w:val="20"/>
          <w:szCs w:val="20"/>
          <w:lang w:eastAsia="zh-CN"/>
        </w:rPr>
        <w:t xml:space="preserve"> and location</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eastAsia="zh-CN"/>
        </w:rPr>
        <w:t xml:space="preserve">based CHO </w:t>
      </w:r>
      <w:r>
        <w:rPr>
          <w:rFonts w:hint="eastAsia" w:ascii="Arial" w:hAnsi="Arial" w:eastAsia="宋体" w:cs="Arial"/>
          <w:kern w:val="0"/>
          <w:sz w:val="20"/>
          <w:szCs w:val="20"/>
          <w:lang w:val="en-US" w:eastAsia="zh-CN"/>
        </w:rPr>
        <w:t>for eMTC NTN, the UE can perform neighbor cell measurements for CHO.</w:t>
      </w:r>
      <w:r>
        <w:rPr>
          <w:rFonts w:hint="eastAsia" w:ascii="Arial" w:hAnsi="Arial" w:eastAsia="宋体" w:cs="Arial"/>
          <w:kern w:val="0"/>
          <w:sz w:val="20"/>
          <w:szCs w:val="20"/>
          <w:lang w:eastAsia="zh-CN"/>
        </w:rPr>
        <w:t xml:space="preserve"> </w:t>
      </w:r>
      <w:r>
        <w:rPr>
          <w:rFonts w:hint="eastAsia" w:ascii="Arial" w:hAnsi="Arial" w:eastAsia="宋体" w:cs="Arial"/>
          <w:kern w:val="0"/>
          <w:sz w:val="20"/>
          <w:szCs w:val="20"/>
          <w:lang w:val="en-US" w:eastAsia="zh-CN"/>
        </w:rPr>
        <w:t>Therefore</w:t>
      </w:r>
      <w:r>
        <w:rPr>
          <w:rFonts w:hint="eastAsia" w:ascii="Arial" w:hAnsi="Arial" w:eastAsia="宋体" w:cs="Arial"/>
          <w:kern w:val="0"/>
          <w:sz w:val="20"/>
          <w:szCs w:val="20"/>
          <w:lang w:eastAsia="zh-CN"/>
        </w:rPr>
        <w:t>, there is no need to introduce the new trigger for neighbour cell measurement. On the contrary</w:t>
      </w:r>
      <w:r>
        <w:rPr>
          <w:rFonts w:hint="eastAsia" w:ascii="Arial" w:hAnsi="Arial" w:eastAsia="宋体" w:cs="Arial"/>
          <w:kern w:val="0"/>
          <w:sz w:val="20"/>
          <w:szCs w:val="20"/>
          <w:lang w:val="en-US" w:eastAsia="zh-CN"/>
        </w:rPr>
        <w:t xml:space="preserve">, if we introduce the new trigger for measurement, for example, the UE performs neighbor cell measurements when the serving cell is to stop serving the current area or when the UE is in the cell edge, we think the measurement is too late for CHO. </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For eMTC over NTN, it is proposed not to introduce new trigger for connected mode neighbor cell measurement.</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2.2 </w:t>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NB-IoT NTN</w:t>
      </w:r>
    </w:p>
    <w:p>
      <w:pPr>
        <w:widowControl/>
        <w:numPr>
          <w:ilvl w:val="0"/>
          <w:numId w:val="0"/>
        </w:numPr>
        <w:spacing w:after="180"/>
        <w:rPr>
          <w:rFonts w:hint="eastAsia" w:ascii="Arial" w:hAnsi="Arial" w:eastAsia="宋体" w:cs="Arial"/>
          <w:b w:val="0"/>
          <w:bCs w:val="0"/>
          <w:kern w:val="0"/>
          <w:sz w:val="20"/>
          <w:szCs w:val="20"/>
        </w:rPr>
      </w:pPr>
      <w:r>
        <w:rPr>
          <w:rFonts w:hint="eastAsia" w:ascii="Arial" w:hAnsi="Arial" w:eastAsia="宋体" w:cs="Arial"/>
          <w:b w:val="0"/>
          <w:bCs w:val="0"/>
          <w:kern w:val="0"/>
          <w:sz w:val="20"/>
          <w:szCs w:val="20"/>
          <w:lang w:val="en-US" w:eastAsia="zh-CN"/>
        </w:rPr>
        <w:t xml:space="preserve">In last meeting, RAN2 discussed whether the location-based measurement trigger can be used for NB-IoT UE in idle mode. Majority companies support this since the neighbor cell measurement information is </w:t>
      </w:r>
      <w:r>
        <w:rPr>
          <w:rFonts w:hint="eastAsia" w:ascii="Arial" w:hAnsi="Arial" w:eastAsia="宋体" w:cs="Arial"/>
          <w:b w:val="0"/>
          <w:bCs w:val="0"/>
          <w:kern w:val="0"/>
          <w:sz w:val="20"/>
          <w:szCs w:val="20"/>
        </w:rPr>
        <w:t xml:space="preserve">broadcast in </w:t>
      </w:r>
      <w:r>
        <w:rPr>
          <w:rFonts w:hint="eastAsia" w:ascii="Arial" w:hAnsi="Arial" w:eastAsia="宋体" w:cs="Arial"/>
          <w:b w:val="0"/>
          <w:bCs w:val="0"/>
          <w:kern w:val="0"/>
          <w:sz w:val="20"/>
          <w:szCs w:val="20"/>
          <w:lang w:val="en-US" w:eastAsia="zh-CN"/>
        </w:rPr>
        <w:t>SIB and can also be used</w:t>
      </w:r>
      <w:r>
        <w:rPr>
          <w:rFonts w:hint="eastAsia" w:ascii="Arial" w:hAnsi="Arial" w:eastAsia="宋体" w:cs="Arial"/>
          <w:b w:val="0"/>
          <w:bCs w:val="0"/>
          <w:kern w:val="0"/>
          <w:sz w:val="20"/>
          <w:szCs w:val="20"/>
        </w:rPr>
        <w:t xml:space="preserve"> for RRC_IDLE</w:t>
      </w:r>
      <w:r>
        <w:rPr>
          <w:rFonts w:hint="eastAsia" w:ascii="Arial" w:hAnsi="Arial" w:eastAsia="宋体" w:cs="Arial"/>
          <w:b w:val="0"/>
          <w:bCs w:val="0"/>
          <w:kern w:val="0"/>
          <w:sz w:val="20"/>
          <w:szCs w:val="20"/>
          <w:lang w:val="en-US" w:eastAsia="zh-CN"/>
        </w:rPr>
        <w:t>. Some companies think that the frequent location check will drain out UE</w:t>
      </w:r>
      <w:r>
        <w:rPr>
          <w:rFonts w:hint="default" w:ascii="Arial" w:hAnsi="Arial" w:eastAsia="宋体" w:cs="Arial"/>
          <w:b w:val="0"/>
          <w:bCs w:val="0"/>
          <w:kern w:val="0"/>
          <w:sz w:val="20"/>
          <w:szCs w:val="20"/>
          <w:lang w:val="en-US" w:eastAsia="zh-CN"/>
        </w:rPr>
        <w:t>’</w:t>
      </w:r>
      <w:r>
        <w:rPr>
          <w:rFonts w:hint="eastAsia" w:ascii="Arial" w:hAnsi="Arial" w:eastAsia="宋体" w:cs="Arial"/>
          <w:b w:val="0"/>
          <w:bCs w:val="0"/>
          <w:kern w:val="0"/>
          <w:sz w:val="20"/>
          <w:szCs w:val="20"/>
          <w:lang w:val="en-US" w:eastAsia="zh-CN"/>
        </w:rPr>
        <w:t>s battery which is not acceptable. In our understanding, the location-based trigger is helpful for neighbor cell measurement, but the exact time to start neighbor cell measurement is up to UE implementation. The UE does not have to to update GNSS location frequently for this purpose</w:t>
      </w:r>
      <w:r>
        <w:rPr>
          <w:rFonts w:hint="eastAsia" w:ascii="Arial" w:hAnsi="Arial" w:eastAsia="宋体" w:cs="Arial"/>
          <w:b w:val="0"/>
          <w:bCs w:val="0"/>
          <w:kern w:val="0"/>
          <w:sz w:val="20"/>
          <w:szCs w:val="20"/>
        </w:rPr>
        <w:t>.</w:t>
      </w:r>
    </w:p>
    <w:p>
      <w:pPr>
        <w:widowControl/>
        <w:numPr>
          <w:ilvl w:val="0"/>
          <w:numId w:val="0"/>
        </w:numPr>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For NB-IoT NTN, location-based measurement initiation can be used in RRC_IDLE for cell re-selection purposes. The UE is not required to update the GNSS location for this purpose and the details are up to UE implementation.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3</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Assistance information for neighbor cell</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the offline discussion for neighbor cell measurement [2], companies discussed whether the validity duration is needed for neighbor cell ephemeris. </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We think the validity duration is useful for UE to know whether the neighbor cell ephemeris is valid, and whether can be used for neighbor cell measurement. And even we introduce the validity duration, it is not required for UE to reacquire new SIBxx in connected mode if the validity duration expires. Considering the limited SIB size for IoT NTN and the complexity of NB-IoT/eMTC UE reading new SIBxx at different time if the validity duration is different for different neighbour cell ephemeris, we prefer to introduce an optional single validity duration for all neighbor cell satellites. If the validity duration is not provided, it is assumed that the same validity duration as serving cell is used for neighbor cells.</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A single validity duration is introduced for all neighbor cell ephemeris optionally. If the validity duration is absent, the same validity duration as serving cell is used. </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4</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CHO</w:t>
      </w:r>
      <w:r>
        <w:rPr>
          <w:rFonts w:hint="eastAsia" w:ascii="Arial" w:hAnsi="Arial" w:eastAsia="宋体" w:cs="Arial"/>
          <w:kern w:val="0"/>
          <w:sz w:val="32"/>
          <w:szCs w:val="20"/>
        </w:rPr>
        <w:t xml:space="preserve"> enhancements</w:t>
      </w:r>
      <w:r>
        <w:rPr>
          <w:rFonts w:hint="eastAsia" w:ascii="Arial" w:hAnsi="Arial" w:eastAsia="宋体" w:cs="Arial"/>
          <w:kern w:val="0"/>
          <w:sz w:val="32"/>
          <w:szCs w:val="20"/>
          <w:lang w:val="en-US" w:eastAsia="zh-CN"/>
        </w:rPr>
        <w:t xml:space="preserve"> for eMTC NTN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discussed whether the time/location trigger must be configured together with an RRM based trigger and has no consensus. In NR NTN, the time/location-based trigger condition is always configured together with one of the measurement-based trigger conditions, considering the UE should select a target cell in good radio condition to perform handover, and is specified in TS 38.300 [2]:</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6"/>
              <w:rPr>
                <w:rFonts w:hint="default" w:ascii="Times New Roman" w:hAnsi="Times New Roman" w:cs="Times New Roman"/>
              </w:rPr>
            </w:pPr>
            <w:bookmarkStart w:id="0" w:name="_Toc124536347"/>
            <w:r>
              <w:rPr>
                <w:rFonts w:hint="default" w:ascii="Times New Roman" w:hAnsi="Times New Roman" w:cs="Times New Roman"/>
              </w:rPr>
              <w:t>16.14.3.2.2</w:t>
            </w:r>
            <w:r>
              <w:rPr>
                <w:rFonts w:hint="default" w:ascii="Times New Roman" w:hAnsi="Times New Roman" w:cs="Times New Roman"/>
              </w:rPr>
              <w:tab/>
            </w:r>
            <w:r>
              <w:rPr>
                <w:rFonts w:hint="default" w:ascii="Times New Roman" w:hAnsi="Times New Roman" w:cs="Times New Roman"/>
                <w:lang w:eastAsia="zh-CN"/>
              </w:rPr>
              <w:t>Conditional Handover</w:t>
            </w:r>
            <w:bookmarkEnd w:id="0"/>
          </w:p>
          <w:p>
            <w:pPr>
              <w:rPr>
                <w:rFonts w:hint="default" w:ascii="Times New Roman" w:hAnsi="Times New Roman" w:cs="Times New Roman"/>
              </w:rPr>
            </w:pPr>
            <w:r>
              <w:rPr>
                <w:rFonts w:hint="default" w:ascii="Times New Roman" w:hAnsi="Times New Roman" w:cs="Times New Roman"/>
              </w:rPr>
              <w:t>The same principle as described in 9.2.3.4 applies to NTN unless hereunder specified.</w:t>
            </w:r>
          </w:p>
          <w:p>
            <w:pPr>
              <w:rPr>
                <w:rFonts w:hint="default" w:ascii="Times New Roman" w:hAnsi="Times New Roman" w:cs="Times New Roman"/>
                <w:lang w:eastAsia="zh-CN"/>
              </w:rPr>
            </w:pPr>
            <w:r>
              <w:rPr>
                <w:rFonts w:hint="default" w:ascii="Times New Roman" w:hAnsi="Times New Roman" w:cs="Times New Roman"/>
                <w:lang w:eastAsia="zh-CN"/>
              </w:rPr>
              <w:t>NTN supports the following additional trigger conditions upon which UE may execute CHO to a candidate cell, as defined in TS 38.331 [12]:</w:t>
            </w:r>
          </w:p>
          <w:p>
            <w:pPr>
              <w:pStyle w:val="22"/>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eastAsia="等线" w:cs="Times New Roman"/>
              </w:rPr>
              <w:t xml:space="preserve">The RRM measurement-based </w:t>
            </w:r>
            <w:r>
              <w:rPr>
                <w:rFonts w:hint="default" w:ascii="Times New Roman" w:hAnsi="Times New Roman" w:cs="Times New Roman"/>
                <w:lang w:eastAsia="zh-CN"/>
              </w:rPr>
              <w:t>event A4;</w:t>
            </w:r>
          </w:p>
          <w:p>
            <w:pPr>
              <w:pStyle w:val="22"/>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A time-based trigger condition;</w:t>
            </w:r>
          </w:p>
          <w:p>
            <w:pPr>
              <w:pStyle w:val="22"/>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A location-based trigger condition.</w:t>
            </w:r>
          </w:p>
          <w:p>
            <w:pPr>
              <w:rPr>
                <w:rFonts w:hint="default" w:ascii="Times New Roman" w:hAnsi="Times New Roman" w:cs="Times New Roman"/>
                <w:lang w:eastAsia="zh-CN"/>
              </w:rPr>
            </w:pPr>
            <w:r>
              <w:rPr>
                <w:rFonts w:hint="default" w:ascii="Times New Roman" w:hAnsi="Times New Roman" w:cs="Times New Roman"/>
                <w:highlight w:val="yellow"/>
                <w:lang w:eastAsia="zh-CN"/>
              </w:rPr>
              <w:t xml:space="preserve">A time-based or a location-based trigger condition is always configured together with one of the measurement-based trigger conditions (CHO events A3/A4/A5) </w:t>
            </w:r>
            <w:r>
              <w:rPr>
                <w:rFonts w:hint="default" w:ascii="Times New Roman" w:hAnsi="Times New Roman" w:cs="Times New Roman"/>
                <w:lang w:eastAsia="zh-CN"/>
              </w:rPr>
              <w:t>as defined in TS 38.331 [12].</w:t>
            </w:r>
          </w:p>
          <w:p>
            <w:pPr>
              <w:rPr>
                <w:rFonts w:hint="default" w:ascii="Arial" w:hAnsi="Arial" w:eastAsia="宋体" w:cs="Arial"/>
                <w:kern w:val="0"/>
                <w:sz w:val="20"/>
                <w:szCs w:val="20"/>
                <w:vertAlign w:val="baseline"/>
                <w:lang w:val="en-US" w:eastAsia="zh-CN"/>
              </w:rPr>
            </w:pPr>
            <w:r>
              <w:rPr>
                <w:rFonts w:hint="default" w:ascii="Times New Roman" w:hAnsi="Times New Roman" w:cs="Times New Roman"/>
                <w:lang w:eastAsia="zh-CN"/>
              </w:rPr>
              <w:t>It is up to UE implementation how the UE evaluates the time- or location-based trigger condition together with the RRM measurement-based event.</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We think the similar mechanism can be reused for eMTC NTN, and how the UE evaluates the time-based or location-based trigger condition together with the RRM measurement-based event is up to UE implementation.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eastAsia="宋体" w:cs="Arial"/>
          <w:b/>
          <w:bCs/>
          <w:kern w:val="0"/>
          <w:sz w:val="20"/>
          <w:szCs w:val="20"/>
          <w:lang w:val="en-US" w:eastAsia="zh-CN"/>
        </w:rPr>
        <w:t xml:space="preserve">Proposal 5: </w:t>
      </w:r>
      <w:r>
        <w:rPr>
          <w:rFonts w:hint="default" w:ascii="Arial" w:hAnsi="Arial" w:cs="Arial"/>
          <w:b/>
          <w:bCs/>
          <w:sz w:val="20"/>
          <w:szCs w:val="20"/>
          <w:lang w:val="en-US" w:eastAsia="zh-CN"/>
        </w:rPr>
        <w:t>Same as NR NTN, time/location-based trigger condition is always configured together with one of the measurement-based trigger conditions (CHO events A3/A4/A5).</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Another issue is whether the time-based and location-based trigger condition can be configured jointly. In R17 NR NTN, joint configuration is not supported. The same principle can also be reused in eMTC NTN.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6: Same as NR NTN, joint time-based and location-based CHO execution triggering for the same candidate cell is not supported for eMTC NTN.</w:t>
      </w:r>
      <w:bookmarkStart w:id="1" w:name="_GoBack"/>
      <w:bookmarkEnd w:id="1"/>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mobility</w:t>
      </w:r>
      <w:r>
        <w:rPr>
          <w:rFonts w:ascii="Arial" w:hAnsi="Arial" w:eastAsia="宋体" w:cs="Arial"/>
          <w:kern w:val="0"/>
          <w:sz w:val="20"/>
          <w:szCs w:val="20"/>
          <w:lang w:val="en-GB" w:eastAsia="en-US"/>
        </w:rPr>
        <w:t xml:space="preserve"> 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It is not required for eMTC UE to update the GNSS location for location-based measurement trigger in idle mode, the details can be up to UE implementation.</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For eMTC over NTN, it is proposed not to introduce new trigger for connected mode neighbor cell measurement.</w:t>
      </w:r>
    </w:p>
    <w:p>
      <w:pPr>
        <w:widowControl/>
        <w:spacing w:after="180"/>
        <w:rPr>
          <w:rFonts w:hint="eastAsia" w:ascii="Arial" w:hAnsi="Arial" w:eastAsia="宋体" w:cs="Arial"/>
          <w:b/>
          <w:bCs/>
          <w:kern w:val="0"/>
          <w:sz w:val="20"/>
          <w:szCs w:val="20"/>
        </w:rPr>
      </w:pPr>
      <w:r>
        <w:rPr>
          <w:rFonts w:hint="default" w:ascii="Arial" w:hAnsi="Arial" w:eastAsia="宋体" w:cs="Arial"/>
          <w:b/>
          <w:bCs/>
          <w:kern w:val="2"/>
          <w:sz w:val="20"/>
          <w:szCs w:val="20"/>
          <w:lang w:val="en-US" w:eastAsia="zh-CN" w:bidi="ar"/>
        </w:rPr>
        <w:t xml:space="preserve">Proposal </w:t>
      </w:r>
      <w:r>
        <w:rPr>
          <w:rFonts w:hint="eastAsia" w:ascii="Arial" w:hAnsi="Arial" w:eastAsia="宋体" w:cs="Arial"/>
          <w:b/>
          <w:bCs/>
          <w:kern w:val="2"/>
          <w:sz w:val="20"/>
          <w:szCs w:val="20"/>
          <w:lang w:val="en-US" w:eastAsia="zh-CN" w:bidi="ar"/>
        </w:rPr>
        <w:t>3</w:t>
      </w:r>
      <w:r>
        <w:rPr>
          <w:rFonts w:hint="default" w:ascii="Arial" w:hAnsi="Arial" w:eastAsia="宋体" w:cs="Arial"/>
          <w:b/>
          <w:bCs/>
          <w:kern w:val="2"/>
          <w:sz w:val="20"/>
          <w:szCs w:val="20"/>
          <w:lang w:val="en-US" w:eastAsia="zh-CN" w:bidi="ar"/>
        </w:rPr>
        <w:t>：</w:t>
      </w:r>
      <w:r>
        <w:rPr>
          <w:rFonts w:hint="eastAsia" w:ascii="Arial" w:hAnsi="Arial" w:eastAsia="宋体" w:cs="Arial"/>
          <w:b/>
          <w:bCs/>
          <w:kern w:val="0"/>
          <w:sz w:val="20"/>
          <w:szCs w:val="20"/>
          <w:lang w:val="en-US" w:eastAsia="zh-CN"/>
        </w:rPr>
        <w:t>For NB-IoT NTN, location-based measurement initiation can be used in RRC_IDLE for cell re-selection purposes. The UE is not required to update the GNSS location for this purpose and the details are up to UE implementation</w:t>
      </w:r>
      <w:r>
        <w:rPr>
          <w:rFonts w:hint="eastAsia" w:ascii="Arial" w:hAnsi="Arial" w:eastAsia="宋体" w:cs="Arial"/>
          <w:b/>
          <w:bCs/>
          <w:kern w:val="0"/>
          <w:sz w:val="20"/>
          <w:szCs w:val="20"/>
        </w:rPr>
        <w:t>.</w:t>
      </w:r>
    </w:p>
    <w:p>
      <w:pPr>
        <w:widowControl/>
        <w:numPr>
          <w:ilvl w:val="0"/>
          <w:numId w:val="0"/>
        </w:numPr>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triggered mechanism for neighbor cell measurement can also be reused in RRC_IDLE state.</w:t>
      </w:r>
    </w:p>
    <w:p>
      <w:pPr>
        <w:keepNext w:val="0"/>
        <w:keepLines w:val="0"/>
        <w:widowControl w:val="0"/>
        <w:suppressLineNumbers w:val="0"/>
        <w:spacing w:before="0" w:beforeAutospacing="0" w:after="0" w:afterAutospacing="0"/>
        <w:ind w:left="0" w:right="0"/>
        <w:jc w:val="both"/>
        <w:rPr>
          <w:rFonts w:hint="default" w:ascii="Arial" w:hAnsi="Arial" w:cs="Arial"/>
          <w:b/>
          <w:bCs/>
          <w:sz w:val="20"/>
          <w:szCs w:val="21"/>
          <w:lang w:val="en-US" w:eastAsia="zh-CN"/>
        </w:rPr>
      </w:pPr>
      <w:r>
        <w:rPr>
          <w:rFonts w:hint="default" w:ascii="Arial" w:hAnsi="Arial" w:cs="Arial"/>
          <w:b/>
          <w:bCs/>
          <w:sz w:val="20"/>
          <w:szCs w:val="21"/>
          <w:lang w:val="en-US" w:eastAsia="zh-CN"/>
        </w:rPr>
        <w:t xml:space="preserve">Proposal </w:t>
      </w:r>
      <w:r>
        <w:rPr>
          <w:rFonts w:hint="eastAsia" w:ascii="Arial" w:hAnsi="Arial" w:cs="Arial"/>
          <w:b/>
          <w:bCs/>
          <w:sz w:val="20"/>
          <w:szCs w:val="21"/>
          <w:lang w:val="en-US" w:eastAsia="zh-CN"/>
        </w:rPr>
        <w:t>4</w:t>
      </w:r>
      <w:r>
        <w:rPr>
          <w:rFonts w:hint="default" w:ascii="Arial" w:hAnsi="Arial" w:cs="Arial"/>
          <w:b/>
          <w:bCs/>
          <w:sz w:val="20"/>
          <w:szCs w:val="21"/>
          <w:lang w:val="en-US" w:eastAsia="zh-CN"/>
        </w:rPr>
        <w:t xml:space="preserve">: </w:t>
      </w:r>
      <w:r>
        <w:rPr>
          <w:rFonts w:hint="eastAsia" w:ascii="Arial" w:hAnsi="Arial" w:eastAsia="宋体" w:cs="Arial"/>
          <w:b/>
          <w:bCs/>
          <w:kern w:val="0"/>
          <w:sz w:val="20"/>
          <w:szCs w:val="20"/>
          <w:lang w:val="en-US" w:eastAsia="zh-CN"/>
        </w:rPr>
        <w:t>A single validity duration is introduced for all neighbor cell ephemeris optionally. If the validity duration is absent, the same validity duration as serving cell is used</w:t>
      </w:r>
      <w:r>
        <w:rPr>
          <w:rFonts w:hint="default" w:ascii="Arial" w:hAnsi="Arial" w:cs="Arial"/>
          <w:b/>
          <w:bCs/>
          <w:sz w:val="20"/>
          <w:szCs w:val="21"/>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eastAsia="宋体" w:cs="Arial"/>
          <w:b/>
          <w:bCs/>
          <w:kern w:val="0"/>
          <w:sz w:val="20"/>
          <w:szCs w:val="20"/>
          <w:lang w:val="en-US" w:eastAsia="zh-CN"/>
        </w:rPr>
        <w:t xml:space="preserve">Proposal 5: </w:t>
      </w:r>
      <w:r>
        <w:rPr>
          <w:rFonts w:hint="default" w:ascii="Arial" w:hAnsi="Arial" w:cs="Arial"/>
          <w:b/>
          <w:bCs/>
          <w:sz w:val="20"/>
          <w:szCs w:val="20"/>
          <w:lang w:val="en-US" w:eastAsia="zh-CN"/>
        </w:rPr>
        <w:t>Same as NR NTN, time/location-based trigger condition is always configured together with one of the measurement-based trigger conditions (CHO events A3/A4/A5).</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6: Same as NR NTN, joint time-based and location-based CHO execution triggering for the same candidate cell is not supported for eMTC NTN.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GB" w:eastAsia="en-US"/>
        </w:rPr>
        <w:t>Draft_R2_121bis_meeting_report_v1</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R2-2304257 </w:t>
      </w:r>
      <w:r>
        <w:rPr>
          <w:rFonts w:hint="eastAsia" w:ascii="Arial" w:hAnsi="Arial" w:eastAsia="宋体" w:cs="Arial"/>
          <w:kern w:val="0"/>
          <w:sz w:val="21"/>
          <w:szCs w:val="21"/>
          <w:lang w:val="en-GB" w:eastAsia="en-US"/>
        </w:rPr>
        <w:t>[offline-114] Neighbour cell measurements</w:t>
      </w:r>
    </w:p>
    <w:p>
      <w:pPr>
        <w:widowControl/>
        <w:numPr>
          <w:ilvl w:val="0"/>
          <w:numId w:val="5"/>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TS 38.300, NR; NR and NG-RAN Overall Description; Stage 2</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F37803"/>
    <w:multiLevelType w:val="multilevel"/>
    <w:tmpl w:val="05F378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2DCAA566"/>
    <w:multiLevelType w:val="singleLevel"/>
    <w:tmpl w:val="2DCAA566"/>
    <w:lvl w:ilvl="0" w:tentative="0">
      <w:start w:val="2"/>
      <w:numFmt w:val="decimal"/>
      <w:lvlText w:val="%1"/>
      <w:lvlJc w:val="left"/>
    </w:lvl>
  </w:abstractNum>
  <w:abstractNum w:abstractNumId="2">
    <w:nsid w:val="32B46C83"/>
    <w:multiLevelType w:val="multilevel"/>
    <w:tmpl w:val="32B46C8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8CA0C15"/>
    <w:multiLevelType w:val="multilevel"/>
    <w:tmpl w:val="58CA0C1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179E9"/>
    <w:rsid w:val="00523942"/>
    <w:rsid w:val="00525BBB"/>
    <w:rsid w:val="005C3989"/>
    <w:rsid w:val="005E7E07"/>
    <w:rsid w:val="006100C7"/>
    <w:rsid w:val="00610B28"/>
    <w:rsid w:val="006743B8"/>
    <w:rsid w:val="00680623"/>
    <w:rsid w:val="006A4FB5"/>
    <w:rsid w:val="006B0BFB"/>
    <w:rsid w:val="006D1DA8"/>
    <w:rsid w:val="00721490"/>
    <w:rsid w:val="0074611C"/>
    <w:rsid w:val="007A2ADF"/>
    <w:rsid w:val="007B28E6"/>
    <w:rsid w:val="007E3904"/>
    <w:rsid w:val="00843904"/>
    <w:rsid w:val="00894A29"/>
    <w:rsid w:val="008A5A0B"/>
    <w:rsid w:val="008D110D"/>
    <w:rsid w:val="008E4F97"/>
    <w:rsid w:val="00940BA3"/>
    <w:rsid w:val="00950D36"/>
    <w:rsid w:val="00956A27"/>
    <w:rsid w:val="00975D83"/>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A3C94"/>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14FF"/>
    <w:rsid w:val="00F33D13"/>
    <w:rsid w:val="00F47D8B"/>
    <w:rsid w:val="00F627D0"/>
    <w:rsid w:val="00F73587"/>
    <w:rsid w:val="00F841B6"/>
    <w:rsid w:val="00F92EA1"/>
    <w:rsid w:val="00FA19BF"/>
    <w:rsid w:val="00FE5D56"/>
    <w:rsid w:val="01041DE1"/>
    <w:rsid w:val="01225F6B"/>
    <w:rsid w:val="01D84BA8"/>
    <w:rsid w:val="028D2FBF"/>
    <w:rsid w:val="02DA7E74"/>
    <w:rsid w:val="03022904"/>
    <w:rsid w:val="038A1F16"/>
    <w:rsid w:val="04A37BF0"/>
    <w:rsid w:val="070B051A"/>
    <w:rsid w:val="086F2C3A"/>
    <w:rsid w:val="089C30CF"/>
    <w:rsid w:val="08CA2A7A"/>
    <w:rsid w:val="091D1BF8"/>
    <w:rsid w:val="0A1469F1"/>
    <w:rsid w:val="0A173D8A"/>
    <w:rsid w:val="0A1D441B"/>
    <w:rsid w:val="0AC90261"/>
    <w:rsid w:val="0B3B0E84"/>
    <w:rsid w:val="0B436F70"/>
    <w:rsid w:val="0B787C61"/>
    <w:rsid w:val="0CBB64AC"/>
    <w:rsid w:val="0CC05689"/>
    <w:rsid w:val="0CD5224C"/>
    <w:rsid w:val="0F95650E"/>
    <w:rsid w:val="10862A71"/>
    <w:rsid w:val="110171B2"/>
    <w:rsid w:val="11206E84"/>
    <w:rsid w:val="11CB5693"/>
    <w:rsid w:val="11D213EC"/>
    <w:rsid w:val="12A933AE"/>
    <w:rsid w:val="13392934"/>
    <w:rsid w:val="14E836E8"/>
    <w:rsid w:val="150054C7"/>
    <w:rsid w:val="15915B3D"/>
    <w:rsid w:val="15BE553B"/>
    <w:rsid w:val="16A3322F"/>
    <w:rsid w:val="17CD5A7B"/>
    <w:rsid w:val="187A66B9"/>
    <w:rsid w:val="1962712A"/>
    <w:rsid w:val="1B0F2B81"/>
    <w:rsid w:val="1E1B683D"/>
    <w:rsid w:val="1E2256DD"/>
    <w:rsid w:val="1EAB5371"/>
    <w:rsid w:val="1EB965F4"/>
    <w:rsid w:val="1FAE4963"/>
    <w:rsid w:val="1FE43F83"/>
    <w:rsid w:val="20F63843"/>
    <w:rsid w:val="212D209C"/>
    <w:rsid w:val="222857CE"/>
    <w:rsid w:val="22704248"/>
    <w:rsid w:val="250D1D0C"/>
    <w:rsid w:val="26710ACB"/>
    <w:rsid w:val="272535CA"/>
    <w:rsid w:val="2903464E"/>
    <w:rsid w:val="2A5223CF"/>
    <w:rsid w:val="2AA9463F"/>
    <w:rsid w:val="2B0333E9"/>
    <w:rsid w:val="2C0C239D"/>
    <w:rsid w:val="2C7B2710"/>
    <w:rsid w:val="2CEB5D3E"/>
    <w:rsid w:val="30BA1D6D"/>
    <w:rsid w:val="30C20634"/>
    <w:rsid w:val="313161CC"/>
    <w:rsid w:val="31561A82"/>
    <w:rsid w:val="31AC0EA0"/>
    <w:rsid w:val="34512CDC"/>
    <w:rsid w:val="35AF0666"/>
    <w:rsid w:val="364E112D"/>
    <w:rsid w:val="36E0052C"/>
    <w:rsid w:val="36F84B57"/>
    <w:rsid w:val="374C0896"/>
    <w:rsid w:val="38FC32F5"/>
    <w:rsid w:val="39030A9D"/>
    <w:rsid w:val="3A2334B6"/>
    <w:rsid w:val="3A82221B"/>
    <w:rsid w:val="3A9241BA"/>
    <w:rsid w:val="3BCA0B96"/>
    <w:rsid w:val="3ECD0998"/>
    <w:rsid w:val="3ED508CA"/>
    <w:rsid w:val="3ED734A6"/>
    <w:rsid w:val="3F2932B0"/>
    <w:rsid w:val="3FA42170"/>
    <w:rsid w:val="3FAF36DB"/>
    <w:rsid w:val="3FE26683"/>
    <w:rsid w:val="406A14B3"/>
    <w:rsid w:val="409B2E14"/>
    <w:rsid w:val="41103459"/>
    <w:rsid w:val="43146FF6"/>
    <w:rsid w:val="43B92C0F"/>
    <w:rsid w:val="449C7E1E"/>
    <w:rsid w:val="45797337"/>
    <w:rsid w:val="4599227F"/>
    <w:rsid w:val="45D06EE4"/>
    <w:rsid w:val="46ED4212"/>
    <w:rsid w:val="46FE4C6E"/>
    <w:rsid w:val="47584A9D"/>
    <w:rsid w:val="47881AEB"/>
    <w:rsid w:val="47C04462"/>
    <w:rsid w:val="47D544D4"/>
    <w:rsid w:val="48F867F9"/>
    <w:rsid w:val="4941533E"/>
    <w:rsid w:val="49957D19"/>
    <w:rsid w:val="49BE175E"/>
    <w:rsid w:val="4A8E6560"/>
    <w:rsid w:val="4C173EDE"/>
    <w:rsid w:val="4C740BA8"/>
    <w:rsid w:val="4D000563"/>
    <w:rsid w:val="4D5D5930"/>
    <w:rsid w:val="4DE6755C"/>
    <w:rsid w:val="4E6D6F61"/>
    <w:rsid w:val="4EC06D16"/>
    <w:rsid w:val="4EF62BB5"/>
    <w:rsid w:val="4F201BB4"/>
    <w:rsid w:val="4F673E64"/>
    <w:rsid w:val="4FC1058D"/>
    <w:rsid w:val="4FED3084"/>
    <w:rsid w:val="506A04F4"/>
    <w:rsid w:val="51000FA0"/>
    <w:rsid w:val="518C5D3B"/>
    <w:rsid w:val="51FA450E"/>
    <w:rsid w:val="52291916"/>
    <w:rsid w:val="528B1069"/>
    <w:rsid w:val="533F437E"/>
    <w:rsid w:val="53AD1A2D"/>
    <w:rsid w:val="53D170F4"/>
    <w:rsid w:val="56581D59"/>
    <w:rsid w:val="567360E6"/>
    <w:rsid w:val="579A1A74"/>
    <w:rsid w:val="58B12E03"/>
    <w:rsid w:val="58B3131C"/>
    <w:rsid w:val="58DD7AFF"/>
    <w:rsid w:val="59C5081D"/>
    <w:rsid w:val="5A2F5AF5"/>
    <w:rsid w:val="5AFF7905"/>
    <w:rsid w:val="5B492C91"/>
    <w:rsid w:val="5B8C1E41"/>
    <w:rsid w:val="5D2D075A"/>
    <w:rsid w:val="5DC547AD"/>
    <w:rsid w:val="5E7D6603"/>
    <w:rsid w:val="5EBD3850"/>
    <w:rsid w:val="5F600D4E"/>
    <w:rsid w:val="609F186D"/>
    <w:rsid w:val="61E947CD"/>
    <w:rsid w:val="629A11E5"/>
    <w:rsid w:val="62CB49A1"/>
    <w:rsid w:val="63616199"/>
    <w:rsid w:val="63F6500F"/>
    <w:rsid w:val="6468043E"/>
    <w:rsid w:val="646B2FA5"/>
    <w:rsid w:val="65170B20"/>
    <w:rsid w:val="65757715"/>
    <w:rsid w:val="660E4242"/>
    <w:rsid w:val="66372AED"/>
    <w:rsid w:val="677038E2"/>
    <w:rsid w:val="686325F3"/>
    <w:rsid w:val="68663796"/>
    <w:rsid w:val="69293200"/>
    <w:rsid w:val="694347AF"/>
    <w:rsid w:val="694F06EB"/>
    <w:rsid w:val="6A063BDC"/>
    <w:rsid w:val="6A625D93"/>
    <w:rsid w:val="6A841BD5"/>
    <w:rsid w:val="6BE35659"/>
    <w:rsid w:val="6C0B1EC6"/>
    <w:rsid w:val="6F6F1C62"/>
    <w:rsid w:val="70FD12D6"/>
    <w:rsid w:val="711E22C5"/>
    <w:rsid w:val="71394751"/>
    <w:rsid w:val="71F54A46"/>
    <w:rsid w:val="732872C5"/>
    <w:rsid w:val="73AB55C3"/>
    <w:rsid w:val="74EB5441"/>
    <w:rsid w:val="771976F5"/>
    <w:rsid w:val="77447586"/>
    <w:rsid w:val="78D86FD6"/>
    <w:rsid w:val="79C61A14"/>
    <w:rsid w:val="7BD13B30"/>
    <w:rsid w:val="7C080BA0"/>
    <w:rsid w:val="7D602F36"/>
    <w:rsid w:val="7D8354E8"/>
    <w:rsid w:val="7E100C99"/>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24"/>
    <w:semiHidden/>
    <w:unhideWhenUsed/>
    <w:qFormat/>
    <w:uiPriority w:val="99"/>
    <w:rPr>
      <w:rFonts w:ascii="宋体" w:eastAsia="宋体"/>
      <w:sz w:val="18"/>
      <w:szCs w:val="18"/>
    </w:rPr>
  </w:style>
  <w:style w:type="paragraph" w:styleId="8">
    <w:name w:val="annotation text"/>
    <w:basedOn w:val="1"/>
    <w:qFormat/>
    <w:uiPriority w:val="99"/>
    <w:pPr>
      <w:jc w:val="left"/>
    </w:pPr>
  </w:style>
  <w:style w:type="paragraph" w:styleId="9">
    <w:name w:val="Balloon Text"/>
    <w:basedOn w:val="1"/>
    <w:link w:val="25"/>
    <w:semiHidden/>
    <w:unhideWhenUsed/>
    <w:qFormat/>
    <w:uiPriority w:val="99"/>
    <w:rPr>
      <w:sz w:val="18"/>
      <w:szCs w:val="18"/>
    </w:rPr>
  </w:style>
  <w:style w:type="paragraph" w:styleId="10">
    <w:name w:val="footer"/>
    <w:basedOn w:val="1"/>
    <w:link w:val="18"/>
    <w:unhideWhenUsed/>
    <w:qFormat/>
    <w:uiPriority w:val="99"/>
    <w:pPr>
      <w:tabs>
        <w:tab w:val="center" w:pos="4153"/>
        <w:tab w:val="right" w:pos="8306"/>
      </w:tabs>
      <w:snapToGrid w:val="0"/>
      <w:jc w:val="left"/>
    </w:pPr>
    <w:rPr>
      <w:sz w:val="18"/>
      <w:szCs w:val="18"/>
    </w:rPr>
  </w:style>
  <w:style w:type="paragraph" w:styleId="11">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568" w:hanging="284"/>
    </w:pPr>
  </w:style>
  <w:style w:type="table" w:styleId="14">
    <w:name w:val="Table Grid"/>
    <w:basedOn w:val="13"/>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qFormat/>
    <w:uiPriority w:val="99"/>
    <w:rPr>
      <w:color w:val="0000FF"/>
      <w:u w:val="single"/>
    </w:rPr>
  </w:style>
  <w:style w:type="character" w:customStyle="1" w:styleId="17">
    <w:name w:val="页眉 Char"/>
    <w:basedOn w:val="15"/>
    <w:link w:val="11"/>
    <w:qFormat/>
    <w:uiPriority w:val="99"/>
    <w:rPr>
      <w:sz w:val="18"/>
      <w:szCs w:val="18"/>
    </w:rPr>
  </w:style>
  <w:style w:type="character" w:customStyle="1" w:styleId="18">
    <w:name w:val="页脚 Char"/>
    <w:basedOn w:val="15"/>
    <w:link w:val="10"/>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2"/>
    <w:qFormat/>
    <w:uiPriority w:val="0"/>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文档结构图 Char"/>
    <w:basedOn w:val="15"/>
    <w:link w:val="7"/>
    <w:semiHidden/>
    <w:qFormat/>
    <w:uiPriority w:val="99"/>
    <w:rPr>
      <w:rFonts w:ascii="宋体" w:eastAsia="宋体"/>
      <w:kern w:val="2"/>
      <w:sz w:val="18"/>
      <w:szCs w:val="18"/>
    </w:rPr>
  </w:style>
  <w:style w:type="character" w:customStyle="1" w:styleId="25">
    <w:name w:val="批注框文本 Char"/>
    <w:basedOn w:val="15"/>
    <w:link w:val="9"/>
    <w:semiHidden/>
    <w:qFormat/>
    <w:uiPriority w:val="99"/>
    <w:rPr>
      <w:kern w:val="2"/>
      <w:sz w:val="18"/>
      <w:szCs w:val="18"/>
    </w:rPr>
  </w:style>
  <w:style w:type="paragraph" w:customStyle="1" w:styleId="26">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27">
    <w:name w:val="Doc-comment"/>
    <w:basedOn w:val="1"/>
    <w:next w:val="26"/>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690</Words>
  <Characters>3936</Characters>
  <Lines>32</Lines>
  <Paragraphs>9</Paragraphs>
  <TotalTime>1</TotalTime>
  <ScaleCrop>false</ScaleCrop>
  <LinksUpToDate>false</LinksUpToDate>
  <CharactersWithSpaces>4617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2022-09-30T07:00:00Z</dcterms:created>
  <dc:creator>CMCC_TJY</dc:creator>
  <cp:lastModifiedBy>CMCC</cp:lastModifiedBy>
  <dcterms:modified xsi:type="dcterms:W3CDTF">2023-05-12T07:54:16Z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5579B57E28AC4FB88678AC543915D0F3</vt:lpwstr>
  </property>
</Properties>
</file>